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Economic &amp; Management Sciences Grade 8</w:t>
      </w:r>
    </w:p>
    <w:p>
      <w:pPr>
        <w:spacing w:after="40"/>
      </w:pPr>
      <w:r>
        <w:rPr>
          <w:rFonts w:ascii="Calibri" w:cs="Calibri" w:eastAsia="Calibri" w:hAnsi="Calibri"/>
          <w:color w:val="6b7280"/>
          <w:sz w:val="24"/>
          <w:szCs w:val="24"/>
        </w:rPr>
        <w:t xml:space="preserve">Term 2, Week 6: Financial literacy: Income and expenses</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savings  ·  </w:t>
      </w:r>
      <w:r>
        <w:rPr>
          <w:rFonts w:ascii="Calibri" w:cs="Calibri" w:eastAsia="Calibri" w:hAnsi="Calibri"/>
          <w:b/>
          <w:bCs/>
          <w:color w:val="065f46"/>
          <w:sz w:val="20"/>
          <w:szCs w:val="20"/>
        </w:rPr>
        <w:t xml:space="preserve">income  ·  </w:t>
      </w:r>
      <w:r>
        <w:rPr>
          <w:rFonts w:ascii="Calibri" w:cs="Calibri" w:eastAsia="Calibri" w:hAnsi="Calibri"/>
          <w:b/>
          <w:bCs/>
          <w:color w:val="065f46"/>
          <w:sz w:val="20"/>
          <w:szCs w:val="20"/>
        </w:rPr>
        <w:t xml:space="preserve">expenses  ·  </w:t>
      </w:r>
      <w:r>
        <w:rPr>
          <w:rFonts w:ascii="Calibri" w:cs="Calibri" w:eastAsia="Calibri" w:hAnsi="Calibri"/>
          <w:b/>
          <w:bCs/>
          <w:color w:val="065f46"/>
          <w:sz w:val="20"/>
          <w:szCs w:val="20"/>
        </w:rPr>
        <w:t xml:space="preserve">disposable income  ·  </w:t>
      </w:r>
      <w:r>
        <w:rPr>
          <w:rFonts w:ascii="Calibri" w:cs="Calibri" w:eastAsia="Calibri" w:hAnsi="Calibri"/>
          <w:b/>
          <w:bCs/>
          <w:color w:val="065f46"/>
          <w:sz w:val="20"/>
          <w:szCs w:val="20"/>
        </w:rPr>
        <w:t xml:space="preserve">budget surplus</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prior knowledge of income and expenses, including the difference between fixed and variable expenses covered earlier in Term 2.</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define savings and explain why saving money is important for individuals and households.</w:t>
      </w:r>
    </w:p>
    <w:p>
      <w:pPr>
        <w:pStyle w:val="ListParagraph"/>
        <w:numPr>
          <w:ilvl w:val="0"/>
          <w:numId w:val="1"/>
        </w:numPr>
        <w:spacing w:after="40"/>
      </w:pPr>
      <w:r>
        <w:rPr>
          <w:rFonts w:ascii="Calibri" w:cs="Calibri" w:eastAsia="Calibri" w:hAnsi="Calibri"/>
          <w:color w:val="374151"/>
          <w:sz w:val="22"/>
          <w:szCs w:val="22"/>
        </w:rPr>
        <w:t xml:space="preserve">Learners will be able to distinguish between savings and other uses of disposable income.</w:t>
      </w:r>
    </w:p>
    <w:p>
      <w:pPr>
        <w:pStyle w:val="ListParagraph"/>
        <w:numPr>
          <w:ilvl w:val="0"/>
          <w:numId w:val="1"/>
        </w:numPr>
        <w:spacing w:after="40"/>
      </w:pPr>
      <w:r>
        <w:rPr>
          <w:rFonts w:ascii="Calibri" w:cs="Calibri" w:eastAsia="Calibri" w:hAnsi="Calibri"/>
          <w:color w:val="374151"/>
          <w:sz w:val="22"/>
          <w:szCs w:val="22"/>
        </w:rPr>
        <w:t xml:space="preserve">Learners will be able to calculate a simple budget surplus and identify money available for saving.</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short class discussion using the question written on the chalkboard: 'If you received R500 as a gift today, what would you do with it?' Allow 4–5 learners to share their answers. Use responses to introduce the concept of savings — money that is set aside from income after expenses have been paid. Write the key vocabulary on the chalkboard and briefly explain each term. Ask learners to copy the vocabulary into their exercise books.</w:t>
            </w:r>
          </w:p>
          <w:p>
            <w:r>
              <w:rPr>
                <w:rFonts w:ascii="Calibri" w:cs="Calibri" w:eastAsia="Calibri" w:hAnsi="Calibri"/>
                <w:i/>
                <w:iCs/>
                <w:color w:val="9ca3af"/>
                <w:sz w:val="18"/>
                <w:szCs w:val="18"/>
              </w:rPr>
              <w:t xml:space="preserve">Resources: chalkboard, chalk, exercise 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33 minutes</w:t>
            </w:r>
          </w:p>
          <w:p>
            <w:pPr>
              <w:spacing w:after="40"/>
            </w:pPr>
            <w:r>
              <w:rPr>
                <w:rFonts w:ascii="Calibri" w:cs="Calibri" w:eastAsia="Calibri" w:hAnsi="Calibri"/>
                <w:color w:val="374151"/>
                <w:sz w:val="22"/>
                <w:szCs w:val="22"/>
              </w:rPr>
              <w:t xml:space="preserve">Step 1 (10 min): Using the chalkboard, explain the concept of disposable income and how savings come from a budget surplus (income minus expenses). Write a worked example on the board: 'Thabo earns R3 500 per month. His total expenses are R2 800. How much can he save?' Walk through the calculation step by step, prompting learners with questions. Step 2 (15 min): Learners work individually in their exercise books on 3 similar problems of increasing difficulty (written on the chalkboard). Problem 1 — straightforward surplus calculation. Problem 2 — learners identify which expense to reduce to increase savings. Problem 3 — learners calculate what percentage of income is being saved. Circulate the room to monitor progress, provide support, and check understanding. Step 3 (8 min): Pair-share — learners compare their answers with a partner sitting next to them and discuss any differences before a brief whole-class correction on the chalkboard.</w:t>
            </w:r>
          </w:p>
          <w:p>
            <w:r>
              <w:rPr>
                <w:rFonts w:ascii="Calibri" w:cs="Calibri" w:eastAsia="Calibri" w:hAnsi="Calibri"/>
                <w:i/>
                <w:iCs/>
                <w:color w:val="9ca3af"/>
                <w:sz w:val="18"/>
                <w:szCs w:val="18"/>
              </w:rPr>
              <w:t xml:space="preserve">Resources: chalkboard, chalk, exercise books, textbooks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7 minutes</w:t>
            </w:r>
          </w:p>
          <w:p>
            <w:pPr>
              <w:spacing w:after="40"/>
            </w:pPr>
            <w:r>
              <w:rPr>
                <w:rFonts w:ascii="Calibri" w:cs="Calibri" w:eastAsia="Calibri" w:hAnsi="Calibri"/>
                <w:color w:val="374151"/>
                <w:sz w:val="22"/>
                <w:szCs w:val="22"/>
              </w:rPr>
              <w:t xml:space="preserve">Pose three rapid-fire oral questions to the class for a whole-group review: (1) What is the definition of savings? (2) What is disposable income? (3) If income is R2 000 and expenses are R1 600, how much can be saved? Select learners of varying abilities to respond. Summarise key points on the chalkboard and instruct learners to write a one-sentence definition of savings in their own words in their exercise books as an exit task.</w:t>
            </w:r>
          </w:p>
          <w:p>
            <w:r>
              <w:rPr>
                <w:rFonts w:ascii="Calibri" w:cs="Calibri" w:eastAsia="Calibri" w:hAnsi="Calibri"/>
                <w:i/>
                <w:iCs/>
                <w:color w:val="9ca3af"/>
                <w:sz w:val="18"/>
                <w:szCs w:val="18"/>
              </w:rPr>
              <w:t xml:space="preserve">Resources: chalkboard, chalk, exercise books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simple formula written on the chalkboard to refer to throughout the lesson: Savings = Income − Expenses. During the individual activity, pair these learners with a supportive peer for Problem 3 only, and allow them to focus primarily on Problems 1 and 2. Use simple, relatable rand amounts and everyday contexts (e.g., pocket money, tuck shop spending) when explaining concepts.</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who complete all three problems early must attempt an additional challenge: 'Thabo wants to save 20% of his income every month. What changes does he need to make to his expenses? List at least two suggestions and explain your reasoning.' This encourages higher-order thinking about financial decision-making.</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observation during the individual activity — the teacher circulates and checks exercise books for correct surplus calculations, noting which learners are struggling with the concept and which are ready for extension. The exit one-sentence definition also provides a quick written check of conceptual understanding.</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investment  ·  </w:t>
      </w:r>
      <w:r>
        <w:rPr>
          <w:rFonts w:ascii="Calibri" w:cs="Calibri" w:eastAsia="Calibri" w:hAnsi="Calibri"/>
          <w:b/>
          <w:bCs/>
          <w:color w:val="065f46"/>
          <w:sz w:val="20"/>
          <w:szCs w:val="20"/>
        </w:rPr>
        <w:t xml:space="preserve">interest  ·  </w:t>
      </w:r>
      <w:r>
        <w:rPr>
          <w:rFonts w:ascii="Calibri" w:cs="Calibri" w:eastAsia="Calibri" w:hAnsi="Calibri"/>
          <w:b/>
          <w:bCs/>
          <w:color w:val="065f46"/>
          <w:sz w:val="20"/>
          <w:szCs w:val="20"/>
        </w:rPr>
        <w:t xml:space="preserve">return  ·  </w:t>
      </w:r>
      <w:r>
        <w:rPr>
          <w:rFonts w:ascii="Calibri" w:cs="Calibri" w:eastAsia="Calibri" w:hAnsi="Calibri"/>
          <w:b/>
          <w:bCs/>
          <w:color w:val="065f46"/>
          <w:sz w:val="20"/>
          <w:szCs w:val="20"/>
        </w:rPr>
        <w:t xml:space="preserve">risk  ·  </w:t>
      </w:r>
      <w:r>
        <w:rPr>
          <w:rFonts w:ascii="Calibri" w:cs="Calibri" w:eastAsia="Calibri" w:hAnsi="Calibri"/>
          <w:b/>
          <w:bCs/>
          <w:color w:val="065f46"/>
          <w:sz w:val="20"/>
          <w:szCs w:val="20"/>
        </w:rPr>
        <w:t xml:space="preserve">savings account</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1's understanding of savings and budget surplus, extending the concept to explore how saved money can be grown through investments.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define investment and explain the difference between saving and investing.</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describe at least three common forms of savings and investment available to South Africans (e.g., savings account, stokvels, fixed deposit).</w:t>
      </w:r>
    </w:p>
    <w:p>
      <w:pPr>
        <w:pStyle w:val="ListParagraph"/>
        <w:numPr>
          <w:ilvl w:val="0"/>
          <w:numId w:val="1"/>
        </w:numPr>
        <w:spacing w:after="40"/>
      </w:pPr>
      <w:r>
        <w:rPr>
          <w:rFonts w:ascii="Calibri" w:cs="Calibri" w:eastAsia="Calibri" w:hAnsi="Calibri"/>
          <w:color w:val="374151"/>
          <w:sz w:val="22"/>
          <w:szCs w:val="22"/>
        </w:rPr>
        <w:t xml:space="preserve">Learners will be able to evaluate a simple investment scenario by comparing risk and return.</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Recap Lesson 1 by asking 3–4 learners to share their one-sentence definitions of savings from the previous lesson. Then pose the question on the chalkboard: 'What could you do with money you have saved so that it grows over time?' Accept learner responses and use them to bridge into the concept of investment. Write today's vocabulary on the chalkboard and explain each term using simple, relatable examples — for instance, linking 'interest' to the idea that a bank pays you for keeping money with them.</w:t>
            </w:r>
          </w:p>
          <w:p>
            <w:r>
              <w:rPr>
                <w:rFonts w:ascii="Calibri" w:cs="Calibri" w:eastAsia="Calibri" w:hAnsi="Calibri"/>
                <w:i/>
                <w:iCs/>
                <w:color w:val="9ca3af"/>
                <w:sz w:val="18"/>
                <w:szCs w:val="18"/>
              </w:rPr>
              <w:t xml:space="preserve">Resources: chalkboard, chalk, exercise 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30 minutes</w:t>
            </w:r>
          </w:p>
          <w:p>
            <w:pPr>
              <w:spacing w:after="40"/>
            </w:pPr>
            <w:r>
              <w:rPr>
                <w:rFonts w:ascii="Calibri" w:cs="Calibri" w:eastAsia="Calibri" w:hAnsi="Calibri"/>
                <w:color w:val="374151"/>
                <w:sz w:val="22"/>
                <w:szCs w:val="22"/>
              </w:rPr>
              <w:t xml:space="preserve">Step 1 (8 min): Teacher-led explanation using the chalkboard. Explain the key difference between saving (keeping money safe, low risk, low return) and investing (putting money to work, higher risk, potentially higher return). Introduce three common South African savings and investment options: (1) Savings account at a bank, (2) Stokvel (community savings group), (3) Fixed deposit account. For each option, note approximate characteristics: accessibility, risk level, and whether interest is earned. Learners copy a simple comparison table into their exercise books (columns: Type, How it works, Risk level, Who uses it). Step 2 (15 min): Group activity — divide the class into groups of 5 (7 groups of 5). Each group reads a short scenario written on the chalkboard about a fictional character (e.g., 'Nomsa is 30 years old, earns R6 000 per month, has saved R2 000, and wants her money to grow safely over 2 years'). Groups must discuss and decide: Which savings or investment option is best for Nomsa, and why? Groups record their decision and two reasons in their exercise books. Step 3 (7 min): Two or three groups share their recommendation with the class. Teacher facilitates a brief whole-class comparison of responses, reinforcing key concepts of risk and return on the chalkboard.</w:t>
            </w:r>
          </w:p>
          <w:p>
            <w:r>
              <w:rPr>
                <w:rFonts w:ascii="Calibri" w:cs="Calibri" w:eastAsia="Calibri" w:hAnsi="Calibri"/>
                <w:i/>
                <w:iCs/>
                <w:color w:val="9ca3af"/>
                <w:sz w:val="18"/>
                <w:szCs w:val="18"/>
              </w:rPr>
              <w:t xml:space="preserve">Resources: chalkboard, chalk, exercise books, textbooks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Learners individually complete a quick written exit task in their exercise books: List TWO differences between saving and investing, and name ONE savings or investment option that a young person in South Africa could use. Allow 5 minutes for this task. Collect or visually scan exercise books of at least 8 learners as they finish to check for understanding. Close the lesson by affirming the importance of financial literacy and encouraging learners to discuss savings habits with their families.</w:t>
            </w:r>
          </w:p>
          <w:p>
            <w:r>
              <w:rPr>
                <w:rFonts w:ascii="Calibri" w:cs="Calibri" w:eastAsia="Calibri" w:hAnsi="Calibri"/>
                <w:i/>
                <w:iCs/>
                <w:color w:val="9ca3af"/>
                <w:sz w:val="18"/>
                <w:szCs w:val="18"/>
              </w:rPr>
              <w:t xml:space="preserve">Resources: exercise books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group activity, ensure that struggling learners are distributed across different groups so they can benefit from peer explanation. Provide a sentence starter on the chalkboard for the exit task: 'Saving means… while investing means…' During the comparison table activity, assist these learners by reading through the textbook descriptions together and highlighting key words before they copy the table.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add an additional column to their comparison table labelled 'Advantages and Disadvantages' and complete it for all three savings/investment types. After the group activity, these learners write a short paragraph (4–5 sentences) in their exercise books advising a family member on the best savings or investment option for a specific goal (e.g., saving for school fees or a small business), justifying their choice using the concepts of risk and return.</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written assessment via the exit task — the teacher collects or scans exercise books to check whether learners can accurately list two differences between saving and investing and correctly name a relevant savings or investment option. This provides immediate evidence of lesson comprehension and informs any necessary revision at the start of the following week.</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2026-05-18T05:12:25.276Z</dcterms:created>
  <dcterms:modified xsi:type="dcterms:W3CDTF">2026-05-18T05:12:25.276Z</dcterms:modified>
</cp:coreProperties>
</file>

<file path=docProps/custom.xml><?xml version="1.0" encoding="utf-8"?>
<Properties xmlns="http://schemas.openxmlformats.org/officeDocument/2006/custom-properties" xmlns:vt="http://schemas.openxmlformats.org/officeDocument/2006/docPropsVTypes"/>
</file>